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48" w:rsidRDefault="00785948" w:rsidP="00785948">
      <w:pPr>
        <w:shd w:val="clear" w:color="auto" w:fill="FFFFFF"/>
        <w:spacing w:after="0" w:line="240" w:lineRule="auto"/>
        <w:jc w:val="center"/>
        <w:rPr>
          <w:rFonts w:ascii="Arial" w:eastAsia="Times New Roman" w:hAnsi="Arial" w:cs="Arial"/>
          <w:b/>
          <w:bCs/>
          <w:color w:val="000000"/>
          <w:sz w:val="21"/>
          <w:lang w:eastAsia="ru-RU"/>
        </w:rPr>
      </w:pPr>
      <w:r w:rsidRPr="00785948">
        <w:rPr>
          <w:rFonts w:ascii="Arial" w:eastAsia="Times New Roman" w:hAnsi="Arial" w:cs="Arial"/>
          <w:b/>
          <w:bCs/>
          <w:color w:val="000000"/>
          <w:sz w:val="21"/>
          <w:lang w:eastAsia="ru-RU"/>
        </w:rPr>
        <w:t>САНІТАРНИЙ РЕГЛАМЕНТ</w:t>
      </w:r>
      <w:r w:rsidRPr="00785948">
        <w:rPr>
          <w:rFonts w:ascii="Arial" w:eastAsia="Times New Roman" w:hAnsi="Arial" w:cs="Arial"/>
          <w:b/>
          <w:bCs/>
          <w:color w:val="000000"/>
          <w:sz w:val="21"/>
          <w:szCs w:val="21"/>
          <w:bdr w:val="none" w:sz="0" w:space="0" w:color="auto" w:frame="1"/>
          <w:lang w:eastAsia="ru-RU"/>
        </w:rPr>
        <w:br/>
      </w:r>
      <w:r w:rsidRPr="00785948">
        <w:rPr>
          <w:rFonts w:ascii="Arial" w:eastAsia="Times New Roman" w:hAnsi="Arial" w:cs="Arial"/>
          <w:b/>
          <w:bCs/>
          <w:color w:val="000000"/>
          <w:sz w:val="21"/>
          <w:lang w:eastAsia="ru-RU"/>
        </w:rPr>
        <w:t>для закладів загальної середньої освіти</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I. ЗАГАЛЬНІ ПОЛОЖЕННЯ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У закладі освіти дозволяється використовувати матеріали, обладнання, устаткування, засоби, інвентар, витратні матеріали тощо, що відповідають вимогам Закону України "Про загальну безпечність нехарчової продукції", відповідних технічних регламентів та санітарного законодавства.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Учні, які проживають на відстані від закладу освіти понад 2 км, забезпечуються підвезенням у порядку, визначеному засновником (засновниками) закладу освіти відповідно до законодавства.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пункті 3 розділу II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(форма первинної облікової документації N 1-ОМК "Особиста медична книжка", затверджена наказом Міністерства охорони здоров'я України від 21 лютого 2013 року № 150, зареєстрованим у Міністерстві юстиції України 23 квітня 2013 року за № 662/23194).</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9. Засновник (засновники) та керівник закладу освіти є відповідальними за дотримання вимог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II. САНІТАРНО-ГІГІЄНІЧНІ НОРМИ ВЛАШТУВАННЯ ТЕРИТОРІЇ</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lastRenderedPageBreak/>
        <w:t>1. Вимоги до функціональних зон на ділянках закладів освіти наведені у ДБН В.2.2-3:2018 "Будинки і споруди. Заклади освіти", затверджених наказом Міністерства регіонального розвитку, будівництва та житлово-комунального господарства України від 25 квітня 2018 року № 106 (далі - ДБН В.2.2-3:2018).</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Забороняється проводити заняття на зволожених майданчиках.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Ями для стрибків заповнюється чистим, без домішок, піском, який перед стрибками необхідно розпушити та вирівняти.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Майданчики для учнів 1 - 4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w:t>
      </w:r>
      <w:hyperlink r:id="rId5" w:history="1">
        <w:r w:rsidRPr="00785948">
          <w:rPr>
            <w:rFonts w:ascii="Arial" w:eastAsia="Times New Roman" w:hAnsi="Arial" w:cs="Arial"/>
            <w:color w:val="8C8282"/>
            <w:sz w:val="21"/>
            <w:lang w:eastAsia="ru-RU"/>
          </w:rPr>
          <w:t>додатку 1</w:t>
        </w:r>
      </w:hyperlink>
      <w:r w:rsidRPr="00785948">
        <w:rPr>
          <w:rFonts w:ascii="Arial" w:eastAsia="Times New Roman" w:hAnsi="Arial" w:cs="Arial"/>
          <w:color w:val="000000"/>
          <w:sz w:val="21"/>
          <w:szCs w:val="21"/>
          <w:lang w:eastAsia="ru-RU"/>
        </w:rPr>
        <w:t> до цього Санітарного регламенту, а також гриби.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Територія закладу повинна бути огороджена.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Санітарне очищення території закладів освіти повинно здійснюватися відповідно до вимог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дітей а також інших осіб (крім тих, що ліквідуватимуть відповідні загрози).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На території закладу освіти не допускається накопичення снігу та криги на пішохідних доріжках, заїздах, майданчиках.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На території закладу освіти не повинно бути бездомних тварин.</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III. ГІГІЄНІЧНІ ВИМОГИ ДО БУДІВЕЛЬ ТА ПРИМІЩЕНЬ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очищення взуття від бруду перед входом у заклад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Стіни та стеля усіх приміщень закладів освіти повинні бути без щілин, тріщин, деформацій, ознак ураження грибком.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Підлога санітарних вузлів та умивальних кімнат повинна вистилатися неслизькою керамічною або мозаїчною шліфованою плиткою.</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5. У закладах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просторі перед сходами необхідно передбачити попереджувальне маркування рельєфним або іншоструктурним покриттям.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до складу будівельних та (або) оздоблювальних матеріалів.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7. У закладах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8. Електромагнітне випромінювання в усіх приміщеннях не повинно перевищувати гранично допустимі рівні відповідно до Державних санітарних норм і правил захисту населення від впливу електромагнітних випромінювань,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9. Вимоги до облаштування приміщень закладів освіти наведені у ДБН В.2.2-3:2018.</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Навчальні приміщення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2 - 3 розміри відповідно промаркованих меблів з перевагою одного із них, відповідно до </w:t>
      </w:r>
      <w:hyperlink r:id="rId6" w:history="1">
        <w:r w:rsidRPr="00785948">
          <w:rPr>
            <w:rFonts w:ascii="Arial" w:eastAsia="Times New Roman" w:hAnsi="Arial" w:cs="Arial"/>
            <w:color w:val="8C8282"/>
            <w:sz w:val="21"/>
            <w:lang w:eastAsia="ru-RU"/>
          </w:rPr>
          <w:t>додатку 2</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між зовнішньою стіною і першим рядом робочих столів учнів 0,6 - 0,7 м (в будівлях із цегли допускаються 0,5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між рядами двомісних робочих столів учнів) - не менше 0,6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між III рядом робочих столів учнів і внутрішньою стіною або шафами, які стоять біля стіни, не менше 0,7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між переднім робочим столом учнів і демонстраційним столом не менше 0,8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від передньої стіни з класною дошкою до передніх робочих столів учнів не менше 2,4 - 2,6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від задніх робочих столів учнів до задньої стіни не менше 0,65 м (якщо задня стіна зовнішня - не менше 1,0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від задніх робочих столів учнів до шаф, які стоять вздовж заднього краю стіни - не менше 0,8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між столом педагогічного працівника і переднім робочим столом учнів - не менше 0,5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найбільша відстань останнього місця від класної дошки - 9 м;</w:t>
      </w:r>
    </w:p>
    <w:p w:rsidR="00785948" w:rsidRPr="00785948" w:rsidRDefault="00785948" w:rsidP="00785948">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висота нижнього краю дошки над підлогою для учнів першого класу 0,7 - 0,8 м, 2 - 4 класів - 0,75 - 0,8 м, 5 - 11(12) класів - 0,8 - 0,9 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0,8 - 1,0 м, між рядами робочих столів учнів - 0,6, від задніх робочих столів учнів до шаф, розміщених біля внутрішньої стіни - 0,9 - 1,0 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13. Місця для учнів із особливими освітніми потребами обладнуються відповідно до потреб дитини.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Колір маркера для маркерної дошки повинен бути контрастним.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16. Навчальні приміщення для учнів 1 - 4 класів розміщуються окремо від навчальних приміщень учнів 5 - 11(12) класів.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 затверджених наказом Міністерства охорони здоров'я України від 29 грудня 2012 року № 1139, зареєстрованих в Міністерстві юстиції України 09 січня 2013 року №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Приміщення навчальних майстерень повинні бути розраховані на 13 - 15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19. У майстернях для учнів 10 - 12 років слід використовувати інструменти розміром № 1, для учнів 13 - 15 років - № 2, після 15 років - інструментами для дорослих.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Максимальна маса вантажу для підняття школярами: 11 - 12 років до 4 кг, 13 - 14 років - до 5 кг, 15 років: хлопчики - 12 кг, дівчатка - 6,0 кг, 16 років відповідно 14 і 7 кг, 17 років - 16,0 і 8,0 кг.</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Вимоги до кабінетів інформатики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21. Поверхня підлоги повинна мати антистатичне покриття та бути зручною для вологого прибирання.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Вимоги до комп'ютерного обладнання, яким комплектуються навчальні приміщення, призначені для роботи з персональними комп'ютерами визначені у Типовому переліку комп'ютерного обладнання для закладів дошкільної, загальної середньої та професійної (професійно-технічної) освіти, затвердженому наказом Міністерства освіти і науки України від 02 листопада 2017 року № 1440, зареєстрованому в Міністерстві юстиції України 15 січня 2018 року за № 55/31507.</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Допускається співвідношення сторін відеомонітора (екрана) 3:4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1 - 7 класів) та використання відокремленого маніпулятору типу "миша" (учнями 1 - 11(12) класів), а також обов'язкового чередування практичної та теоретичної частин навчального заняття.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7 - 11(12) класів персонального комп'ютера форм-фактора планшетний ПК з діагоналлю екранів не менше 25,4 см (10 дюймів).</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Протягом навчального заняття, після роботи з комп'ютерною технікою обов'язково повинні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 </w:t>
      </w:r>
      <w:hyperlink r:id="rId7" w:history="1">
        <w:r w:rsidRPr="00785948">
          <w:rPr>
            <w:rFonts w:ascii="Arial" w:eastAsia="Times New Roman" w:hAnsi="Arial" w:cs="Arial"/>
            <w:color w:val="8C8282"/>
            <w:sz w:val="21"/>
            <w:lang w:eastAsia="ru-RU"/>
          </w:rPr>
          <w:t>додатку 3</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23. Забороняється використання у закладах освіти як відеомонітори (екрани) пристрої, сконструйовані на телевізійних електронно-променевих трубках.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25. Не дозволяється одночасна робота за одним комп'ютером двох і більше учнів незалежно від їх віку.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Фізкультурно-спортивні приміщення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28. У спортивній залі площею до 288 м2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Дозволяється використовувати для навчальних цілей спортивні споруди, розташовані поблизу закладу освіти (на відстані до 500 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Підлога повинна бути без дефектів та не слизька.</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Санітарно-гігієнічні вимоги до утримання басейнів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29. У закладі освіти в окремому блоці дозволяється розташування басейну.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Внутрішня поверхня дна та стін ванни басейну повинна бути гладкою, не слизькою. По периметру ванни басейну повинна бути обхідна доріжка.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26 - 27° C, а температуру повітря в залі з ванною - на 1 - 2° C вищою від температури води.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місцях виходу з душової на обхідну доріжку повинен бути передбачений прохідний душ для ніг з безперервним потоком проточної теплої води.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сушіння волосся в кожній роздягальні повинні бути стаціонарні чи побутові фени.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- 0,5 - 0,7 мг/дм3, брому - 1,2 мг/дм3, озону - 0,1 - 0,3 мг/дм3, вночі концентрацію хлору дозволяється доводити до 1,5 мг/дм3.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 органолептичними і санітарно-хімічними показниками якість води в басейнах повинна відповідати таким вимогам:</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каламутність &lt; 1,0 НОК;</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кольоровість &lt; 20;</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запах &lt; 2 бали;</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хлориди &lt; 250 мг/дм3;</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амоній &lt; 0,5 мг/дм3;</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залишковий хлор вільний - 0,5 - 0,7 мг/дм3;</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залишковий хлор зв'язаний - 0,8 - 1,2 мг/дм3;</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залишковий озон - 0,1 - 0,3 мг/дм3;</w:t>
      </w:r>
    </w:p>
    <w:p w:rsidR="00785948" w:rsidRPr="00785948" w:rsidRDefault="00785948" w:rsidP="0078594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бром - 1,2 мг/дм3.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 мікробіологічними показниками вода басейнів повинна відповідати таким вимогам:</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кількість бактерій групи кишкової палички в 1 дм3 води, не більше 10;</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кількість бактерій групи ентерококів в 1 дм3 води, не більше 10;</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кількість бактерій групи стафілококів в 1 дм3 води, не більше 10;</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кількість мезофільних мікроорганізмів в 1 см3 води, не більше 100;</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кількість синьогнійних паличок в 1 дм3 води, не більше 10;</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яйця гельмінтів та патогенні найпростіші - відсутність;</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збудники інфекційних захворювань - відсутність;</w:t>
      </w:r>
    </w:p>
    <w:p w:rsidR="00785948" w:rsidRPr="00785948" w:rsidRDefault="00785948" w:rsidP="0078594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ентеровіруси - відсутність.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 приміщеннях басейнів концентрація вільного хлору в повітрі (в зоні дихання плавців) не повинна перевищувати 0,03 мг/м3; концентрація озону - 0,05 мг/м3.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Після дезінфекції засіб, що використовувався, ретельно змивають зі шланга значною кількістю води.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Приміщення допоміжного та підсобного призначення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Санітарні вузли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31. У закладах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Санітарні вузли оснащуються диспенсерами з туалетним папером.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Санітарні вузли для 1 - 4 класів повинні бути обладнані дитячими унітазами або чашею Генуя.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Пансіони (гуртожитки)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32. Пансіони (гуртожитки) в закладах освіти, що будуються, повинні відповідати вимогам ДБН В.2.2-3:2018.</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м2 на 1 місце), кімната для відпочинку; санвузол для персоналу і санітарна кімната (не менше 4 м2), а також господарські майстерні, пральня, кімнати для збереження чистої та брудної білизни, медична кімната (не менше 10 м2), приміщення для зберігання одягу дітей (із розрахунку 0,2 м2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Наповнюваність спальних кімнат у пансіонах (гуртожитках) для учнів 1 - 4 класів - 5 - 6 місць, для учнів 5 - 11(12) класів - не більше 4 місць. Площа спальних кімнат визначається з розрахунку 6 м2 на 1 місце.</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IV. СИСТЕМА ЗАБЕЗПЕЧЕННЯ ЖИТТЄДІЯЛЬНОСТІ</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Водопостачання, водовідведення та опалення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Заклади освіти повинні мати централізовану або автономну систему теплопостачання, яка забезпечує оптимальні показники мікроклімату.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до приходу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Вода, що постачається у заклади освіти, повинна відповідати вимогам Державних санітарних норм та правил "Гігієнічні вимоги до води питної, призначеної для споживання людиною" (ДСанПіН 2.2.4-171-10),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випадку відсутності в населеному пункті централізованих мереж водопроводу і каналізації для закладу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разі облаштування у закладі освіти такої системи водопостачання, з метою приведення питної води до вимог ДСанПіН 2.2.4-171-10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На випадок перебоїв у постачанні гарячої проточної води необхідно передбачати резервне гаряче водопостачання.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Температура гарячої води, що подається до приміщень закладів освіти, повинна бути не нижче 37° C та не вище 60° C.</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Кожна дитина за потреби повинна отримати кип'ячену або фасовану воду в індивідуальному посуді.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ДСанПіН 2.2.4-171-10, що підтверджується виробником.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Забороняється проведення стояків побутової каналізації через виробничі приміщення їдальні (харчоблоку), буфету.</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Повітряно-тепловий режим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Чистота повітря в приміщеннях закладів освіти забезпечується:</w:t>
      </w:r>
    </w:p>
    <w:p w:rsidR="00785948" w:rsidRPr="00785948" w:rsidRDefault="00785948" w:rsidP="00785948">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відповідністю кількості учнів до нормативної наповнюваності відповідно до вимог статті 12 </w:t>
      </w:r>
      <w:hyperlink r:id="rId8" w:history="1">
        <w:r w:rsidRPr="00785948">
          <w:rPr>
            <w:rFonts w:ascii="Arial" w:eastAsia="Times New Roman" w:hAnsi="Arial" w:cs="Arial"/>
            <w:color w:val="8C8282"/>
            <w:sz w:val="21"/>
            <w:lang w:eastAsia="ru-RU"/>
          </w:rPr>
          <w:t>Закону України "Про повну загальну середню освіту"</w:t>
        </w:r>
      </w:hyperlink>
      <w:r w:rsidRPr="00785948">
        <w:rPr>
          <w:rFonts w:ascii="Arial" w:eastAsia="Times New Roman" w:hAnsi="Arial" w:cs="Arial"/>
          <w:color w:val="000000"/>
          <w:sz w:val="21"/>
          <w:szCs w:val="21"/>
          <w:lang w:eastAsia="ru-RU"/>
        </w:rPr>
        <w:t>;</w:t>
      </w:r>
    </w:p>
    <w:p w:rsidR="00785948" w:rsidRPr="00785948" w:rsidRDefault="00785948" w:rsidP="0078594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регулярністю вологого прибирання приміщень з використанням мийних засобів та дезінфекційних засобів, які зареєстровані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w:t>
      </w:r>
    </w:p>
    <w:p w:rsidR="00785948" w:rsidRPr="00785948" w:rsidRDefault="00785948" w:rsidP="0078594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використанням всіх видів провітрювання (наскрізне, кутове, однобічне);</w:t>
      </w:r>
    </w:p>
    <w:p w:rsidR="00785948" w:rsidRPr="00785948" w:rsidRDefault="00785948" w:rsidP="0078594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чистотою та справністю систем вентиляції.</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5. Засновник (засновники) закладу освіти забезпечує організацію лабораторного контролю показників мікроклімату (не менше 6 вимірювань) та концентрації CO2,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Концентрація в повітрі CO2 не повинна перевищувати - 0,01 мг/м3, CO - не більше 5,0 мг/м3, формальдегіду - не більше 0,01 мг/м3.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tbl>
      <w:tblPr>
        <w:tblW w:w="9360" w:type="dxa"/>
        <w:shd w:val="clear" w:color="auto" w:fill="FFFFFF"/>
        <w:tblCellMar>
          <w:left w:w="0" w:type="dxa"/>
          <w:right w:w="0" w:type="dxa"/>
        </w:tblCellMar>
        <w:tblLook w:val="04A0"/>
      </w:tblPr>
      <w:tblGrid>
        <w:gridCol w:w="2384"/>
        <w:gridCol w:w="2272"/>
        <w:gridCol w:w="4704"/>
      </w:tblGrid>
      <w:tr w:rsidR="00785948" w:rsidRPr="00785948" w:rsidTr="00785948">
        <w:tc>
          <w:tcPr>
            <w:tcW w:w="222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b/>
                <w:bCs/>
                <w:color w:val="666666"/>
                <w:sz w:val="17"/>
                <w:lang w:eastAsia="ru-RU"/>
              </w:rPr>
              <w:t>Температура повітря вулиці в градусах Цельсія</w:t>
            </w:r>
          </w:p>
        </w:tc>
        <w:tc>
          <w:tcPr>
            <w:tcW w:w="6495" w:type="dxa"/>
            <w:gridSpan w:val="2"/>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b/>
                <w:bCs/>
                <w:color w:val="666666"/>
                <w:sz w:val="17"/>
                <w:lang w:eastAsia="ru-RU"/>
              </w:rPr>
              <w:t>Тривалість провітрювання приміщень (хв.)</w:t>
            </w:r>
          </w:p>
        </w:tc>
      </w:tr>
      <w:tr w:rsidR="00785948" w:rsidRPr="00785948" w:rsidTr="00785948">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85948" w:rsidRPr="00785948" w:rsidRDefault="00785948" w:rsidP="00785948">
            <w:pPr>
              <w:spacing w:after="0" w:line="240" w:lineRule="auto"/>
              <w:rPr>
                <w:rFonts w:ascii="Arial" w:eastAsia="Times New Roman" w:hAnsi="Arial" w:cs="Arial"/>
                <w:color w:val="666666"/>
                <w:sz w:val="17"/>
                <w:szCs w:val="17"/>
                <w:lang w:eastAsia="ru-RU"/>
              </w:rPr>
            </w:pPr>
          </w:p>
        </w:tc>
        <w:tc>
          <w:tcPr>
            <w:tcW w:w="21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b/>
                <w:bCs/>
                <w:color w:val="666666"/>
                <w:sz w:val="17"/>
                <w:lang w:eastAsia="ru-RU"/>
              </w:rPr>
              <w:t>на малих перервах</w:t>
            </w:r>
          </w:p>
        </w:tc>
        <w:tc>
          <w:tcPr>
            <w:tcW w:w="40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b/>
                <w:bCs/>
                <w:color w:val="666666"/>
                <w:sz w:val="17"/>
                <w:lang w:eastAsia="ru-RU"/>
              </w:rPr>
              <w:t>на великих перервах та між змінами</w:t>
            </w:r>
          </w:p>
        </w:tc>
      </w:tr>
      <w:tr w:rsidR="00785948" w:rsidRPr="00785948" w:rsidTr="00785948">
        <w:tc>
          <w:tcPr>
            <w:tcW w:w="222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від +10 до +6</w:t>
            </w:r>
          </w:p>
        </w:tc>
        <w:tc>
          <w:tcPr>
            <w:tcW w:w="21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4 - 10</w:t>
            </w:r>
          </w:p>
        </w:tc>
        <w:tc>
          <w:tcPr>
            <w:tcW w:w="40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25 - 30</w:t>
            </w:r>
          </w:p>
        </w:tc>
      </w:tr>
      <w:tr w:rsidR="00785948" w:rsidRPr="00785948" w:rsidTr="00785948">
        <w:tc>
          <w:tcPr>
            <w:tcW w:w="222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від +5 до 0</w:t>
            </w:r>
          </w:p>
        </w:tc>
        <w:tc>
          <w:tcPr>
            <w:tcW w:w="21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3 - 7</w:t>
            </w:r>
          </w:p>
        </w:tc>
        <w:tc>
          <w:tcPr>
            <w:tcW w:w="40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20 - 30</w:t>
            </w:r>
          </w:p>
        </w:tc>
      </w:tr>
      <w:tr w:rsidR="00785948" w:rsidRPr="00785948" w:rsidTr="00785948">
        <w:tc>
          <w:tcPr>
            <w:tcW w:w="222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від 0 до -5</w:t>
            </w:r>
          </w:p>
        </w:tc>
        <w:tc>
          <w:tcPr>
            <w:tcW w:w="21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2 - 5</w:t>
            </w:r>
          </w:p>
        </w:tc>
        <w:tc>
          <w:tcPr>
            <w:tcW w:w="40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15 - 25</w:t>
            </w:r>
          </w:p>
        </w:tc>
      </w:tr>
      <w:tr w:rsidR="00785948" w:rsidRPr="00785948" w:rsidTr="00785948">
        <w:tc>
          <w:tcPr>
            <w:tcW w:w="222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від -5 до -10</w:t>
            </w:r>
          </w:p>
        </w:tc>
        <w:tc>
          <w:tcPr>
            <w:tcW w:w="21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1 - 3</w:t>
            </w:r>
          </w:p>
        </w:tc>
        <w:tc>
          <w:tcPr>
            <w:tcW w:w="40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10 - 15</w:t>
            </w:r>
          </w:p>
        </w:tc>
      </w:tr>
      <w:tr w:rsidR="00785948" w:rsidRPr="00785948" w:rsidTr="00785948">
        <w:tc>
          <w:tcPr>
            <w:tcW w:w="222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нижче -10</w:t>
            </w:r>
          </w:p>
        </w:tc>
        <w:tc>
          <w:tcPr>
            <w:tcW w:w="21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1 - 1,5</w:t>
            </w:r>
          </w:p>
        </w:tc>
        <w:tc>
          <w:tcPr>
            <w:tcW w:w="40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85948" w:rsidRPr="00785948" w:rsidRDefault="00785948" w:rsidP="00785948">
            <w:pPr>
              <w:spacing w:after="0" w:line="240" w:lineRule="auto"/>
              <w:jc w:val="center"/>
              <w:rPr>
                <w:rFonts w:ascii="Arial" w:eastAsia="Times New Roman" w:hAnsi="Arial" w:cs="Arial"/>
                <w:color w:val="666666"/>
                <w:sz w:val="17"/>
                <w:szCs w:val="17"/>
                <w:lang w:eastAsia="ru-RU"/>
              </w:rPr>
            </w:pPr>
            <w:r w:rsidRPr="00785948">
              <w:rPr>
                <w:rFonts w:ascii="Arial" w:eastAsia="Times New Roman" w:hAnsi="Arial" w:cs="Arial"/>
                <w:color w:val="666666"/>
                <w:sz w:val="17"/>
                <w:szCs w:val="17"/>
                <w:lang w:eastAsia="ru-RU"/>
              </w:rPr>
              <w:t>5 - 10</w:t>
            </w:r>
          </w:p>
        </w:tc>
      </w:tr>
    </w:tbl>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br/>
        <w:t>Рекреації провітрюються під час навчальних занять. До початку занять і після їх закінчення необхідно здійснювати наскрізне провітрювання навчальних приміщень.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теплу пору року доцільно проводити заняття з прочиненими вікнами в режимі провітрювання.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7. У приміщеннях закладів освіти відносна вологість повітря має бути 40 - 60 %; температура повітря в класних кімнатах 17 - 20° C, в майстернях по обробці металу і дерева 16 - 18° C, в спортивному залі 15 - 17° C, в роздягальнях при спортивному залі 19 - 23° C, в актовому залі 17 - 20° C, в бібліотеці 16 - 18° C, в медичних кабінетах 21 - 23° C, в рекреаціях 16 - 18° C, в спальних приміщеннях 18 - 20° C; у вестибюлі, гардеробі 16 - 19° C; в санітарних вузлах 17 - 21° C; в душових не нижче 25° C.</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процесі самообслуговування учні повинні тримати власне робоче місце в чистоті, прибирати за собою сміття.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5 - 11(12) класів. Робота із самообслуговування повинна проводитися за участю педагогічних та/або медичних працівників.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Тривалість самообслуговування не повинна перевищувати 1 годину на тиждень.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Учні не допускаються до виконання робіт, що небезпечні для їх життя та здоров'я, створюють загрозу зараження інфекційними хворобами.</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Природне та штучне освітлення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наказом Міністерства регіонального розвитку, будівництва та житлово-комунального господарства України від 03 жовтня 2018 року № 264. Природне освітлення повинно бути рівномірним і не створювати блиску.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Рівномірність освітлення на робочому місці (відношення мінімального рівня освітлення до максимального) повинна складати не більше 0,3.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1:4 - 1:5.</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12. Забороняється розміщувати на підвіконні навчальних приміщень рослини, які перешкоджають доступу прямого сонячного світла.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3500 - 4000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Рівні загального штучного освітлення у приміщеннях закладів загальної середньої освіти наведені у </w:t>
      </w:r>
      <w:hyperlink r:id="rId9" w:history="1">
        <w:r w:rsidRPr="00785948">
          <w:rPr>
            <w:rFonts w:ascii="Arial" w:eastAsia="Times New Roman" w:hAnsi="Arial" w:cs="Arial"/>
            <w:color w:val="8C8282"/>
            <w:sz w:val="21"/>
            <w:lang w:eastAsia="ru-RU"/>
          </w:rPr>
          <w:t>додатку 4</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Правил надання послуг з поводження з побутовими відходами, затверджених постановою Кабінету Міністрів України від 10 грудня 2008 року № 1070, не рідше 2-х разів на рік.</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16. Засновник (засновники) закладу освіти забезпечує організацію лабораторного контролю рівня освітленості у закладах освіти не рідше двох разів на рік (не менше 4 точок у 3 - 5 приміщеннях), один з яких проводиться в листопаді чи грудні.</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Шум та вібрація</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17. Допустимі рівні звуку та звукових тисків у приміщеннях закладів освіти та на прилеглій до закладів освіти території наведені у </w:t>
      </w:r>
      <w:hyperlink r:id="rId10" w:history="1">
        <w:r w:rsidRPr="00785948">
          <w:rPr>
            <w:rFonts w:ascii="Arial" w:eastAsia="Times New Roman" w:hAnsi="Arial" w:cs="Arial"/>
            <w:color w:val="8C8282"/>
            <w:sz w:val="21"/>
            <w:lang w:eastAsia="ru-RU"/>
          </w:rPr>
          <w:t>додатку 5</w:t>
        </w:r>
      </w:hyperlink>
      <w:r w:rsidRPr="00785948">
        <w:rPr>
          <w:rFonts w:ascii="Arial" w:eastAsia="Times New Roman" w:hAnsi="Arial" w:cs="Arial"/>
          <w:color w:val="000000"/>
          <w:sz w:val="21"/>
          <w:szCs w:val="21"/>
          <w:lang w:eastAsia="ru-RU"/>
        </w:rPr>
        <w:t> до цього Санітарного регламенту та мають відповідати вимогам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України від 22 лютого 2019 року № 463, зареєстрованих у Міністерстві юстиції України 20 березня 2019 року за № 281/33252.</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Рівні шуму у виробничих приміщеннях закладів освіти повинні відповідати вимогам Санітарних норм виробничого шуму, ультразвуку та інфразвуку (ДСН 3.3.6.037), затверджених постановою Головного державного санітарного лікаря України від 01 грудня 1999 року № 37.</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 </w:t>
      </w:r>
      <w:hyperlink r:id="rId11" w:history="1">
        <w:r w:rsidRPr="00785948">
          <w:rPr>
            <w:rFonts w:ascii="Arial" w:eastAsia="Times New Roman" w:hAnsi="Arial" w:cs="Arial"/>
            <w:color w:val="8C8282"/>
            <w:sz w:val="21"/>
            <w:lang w:eastAsia="ru-RU"/>
          </w:rPr>
          <w:t>додатку 6</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Рівні вібрації у виробничих приміщеннях закладів освіти повинні відповідати вимогам Державних санітарних норм виробничої загальної та локальної вібрації (ДСН 3.3.6.039), затверджених постановою Головного державного санітарного лікаря України від 01 грудня 1999 року № 39.</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Захист від природних радіонуклідів та шкідливих хімічних речовин.</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Середньорічна еквівалентна рівноважна об'ємна активність радону-222 у повітрі приміщень будівель закладів освіти, що будуються та реконструюються, не повинна перевищувати 50 БК/м3, а у будівлях, що експлуатуються - 100 БК/м3.</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Засновник (засновники) закладу освіти повинен забезпечити проведення вимірювань концентрації радону-222 у повітрі приміщень першого поверху будівель не рідше одного разу на рік.</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новозбудованих будівлях, що вводяться в експлуатацію, та після проведення робіт з реконструкції приміщень необхідно провести вимірювання потужності поглиненої дози зовнішнього гамма-випромінювання.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V. ЗАБЕЗПЕЧЕННЯ ОСВІТНЬОГО ПРОЦЕСУ</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Вимоги до організації освітнього процесу</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статті 10 </w:t>
      </w:r>
      <w:hyperlink r:id="rId12" w:history="1">
        <w:r w:rsidRPr="00785948">
          <w:rPr>
            <w:rFonts w:ascii="Arial" w:eastAsia="Times New Roman" w:hAnsi="Arial" w:cs="Arial"/>
            <w:color w:val="8C8282"/>
            <w:sz w:val="21"/>
            <w:lang w:eastAsia="ru-RU"/>
          </w:rPr>
          <w:t>Закону України "Про повну загальну середню освіту".</w:t>
        </w:r>
      </w:hyperlink>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Гігієнічні правила складання розкладу навчальних занять та розподілу навчального навантаження протягом тижня наведені у </w:t>
      </w:r>
      <w:hyperlink r:id="rId13" w:history="1">
        <w:r w:rsidRPr="00785948">
          <w:rPr>
            <w:rFonts w:ascii="Arial" w:eastAsia="Times New Roman" w:hAnsi="Arial" w:cs="Arial"/>
            <w:color w:val="8C8282"/>
            <w:sz w:val="21"/>
            <w:lang w:eastAsia="ru-RU"/>
          </w:rPr>
          <w:t>додатку 7</w:t>
        </w:r>
      </w:hyperlink>
      <w:r w:rsidRPr="00785948">
        <w:rPr>
          <w:rFonts w:ascii="Arial" w:eastAsia="Times New Roman" w:hAnsi="Arial" w:cs="Arial"/>
          <w:color w:val="000000"/>
          <w:sz w:val="21"/>
          <w:szCs w:val="21"/>
          <w:lang w:eastAsia="ru-RU"/>
        </w:rPr>
        <w:t> до цього Санітарного регламенту. Допустима сумарна кількість годин (навчальних занять) тижневого навантаження учнів наведена у </w:t>
      </w:r>
      <w:hyperlink r:id="rId14" w:history="1">
        <w:r w:rsidRPr="00785948">
          <w:rPr>
            <w:rFonts w:ascii="Arial" w:eastAsia="Times New Roman" w:hAnsi="Arial" w:cs="Arial"/>
            <w:color w:val="8C8282"/>
            <w:sz w:val="21"/>
            <w:lang w:eastAsia="ru-RU"/>
          </w:rPr>
          <w:t>додатку 8</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Приватні та корпоративні заклади освіти, учні яких розпочинають навчання з 8.00 - 9.00 год. та продовжують здобуття освіти і перебувають в такому закладі після 14.00 год., освітні програми яких розроблені відповідно до вимог статті 11 </w:t>
      </w:r>
      <w:hyperlink r:id="rId15" w:history="1">
        <w:r w:rsidRPr="00785948">
          <w:rPr>
            <w:rFonts w:ascii="Arial" w:eastAsia="Times New Roman" w:hAnsi="Arial" w:cs="Arial"/>
            <w:color w:val="8C8282"/>
            <w:sz w:val="21"/>
            <w:lang w:eastAsia="ru-RU"/>
          </w:rPr>
          <w:t>Закону України "Про повну загальну середню освіту"</w:t>
        </w:r>
      </w:hyperlink>
      <w:r w:rsidRPr="00785948">
        <w:rPr>
          <w:rFonts w:ascii="Arial" w:eastAsia="Times New Roman" w:hAnsi="Arial" w:cs="Arial"/>
          <w:color w:val="000000"/>
          <w:sz w:val="21"/>
          <w:szCs w:val="21"/>
          <w:lang w:eastAsia="ru-RU"/>
        </w:rPr>
        <w:t>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3 - 4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У закладах освіти, які працюють у дві зміни, навчання учнів 1 - 4 класів, повинно бути організовано у першу зміну.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Безперервна навчальна діяльність учнів (тривалість навчальних занять) не може перевищувати: у 1-му класі - 35 хв., 2 - 4-х класах - 40 хв., 5 - 11(12)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додатку 3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Тривалість перерв між навчальними заняттями для учнів 1 - 4-х класів рекомендується не менше 15 хв., 5 - 11(12)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1 - 4-х класів, після третього та четвертого навчальних занять - для учнів 5 - 11(12) класів. У середині здвоєного навчального заняття необхідно організувати перерву тривалістю 10 хв. для активного відпочинку.</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w:t>
      </w:r>
      <w:hyperlink r:id="rId16" w:history="1">
        <w:r w:rsidRPr="00785948">
          <w:rPr>
            <w:rFonts w:ascii="Arial" w:eastAsia="Times New Roman" w:hAnsi="Arial" w:cs="Arial"/>
            <w:color w:val="8C8282"/>
            <w:sz w:val="21"/>
            <w:lang w:eastAsia="ru-RU"/>
          </w:rPr>
          <w:t>додатку 7</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групах подовженого дня учнів початкової школи прогулянка на відкритому повітрі повинна становити не менше ніж 1,5 години протягом дня (за умов зовнішньої температури повітря не нижче 10° C).</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6. Тривалість виконання завдань для самопідготовки учнів у позанавчальний час не рекомендується більше 1 години у 3 - 5 класах та 1,5 години у 6 - 9 класах, 2 години - у 10 - 11(12) класах. Учням 1 - 2 класів не рекомендуються обов'язкові завдання для самопідготовки у позанавчальний час.</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Вимоги до організації роботи з технічними засобами навчання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2 - 4 класів - не більше 15 хвилин; для учнів 5 - 7 класів - не більше 20 хвилин; для учнів 8 - 9 класів - 20 - 25 хвилин; для учнів 10 - 11(12) класів на 1-й годині занять до 30 хвилин, на 2-й годині занять - 20 хвилин. 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9. Після занять із застосуванням ТЗН проводяться вправи з рухової активності та вправи гімнастки для очей. Комплекси відповідних вправ наведені у </w:t>
      </w:r>
      <w:hyperlink r:id="rId17" w:history="1">
        <w:r w:rsidRPr="00785948">
          <w:rPr>
            <w:rFonts w:ascii="Arial" w:eastAsia="Times New Roman" w:hAnsi="Arial" w:cs="Arial"/>
            <w:color w:val="8C8282"/>
            <w:sz w:val="21"/>
            <w:lang w:eastAsia="ru-RU"/>
          </w:rPr>
          <w:t>додатку 3</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VI. ЗАБЕЗПЕЧЕННЯ ХАРЧУВАННЯ</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Вимоги до влаштування приміщень</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6. Прибирання приміщень проводиться при відчинених фрамугах (вікнах).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7. Забороняється використання приміщень їдалень (харчоблоку), роздаткових, буфетів не за призначенням.</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Організація харчування</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харчування у навчальних та дитячих закладах оздоровлення та відпочинку, затверджених постановою Кабінету Міністрів України від 22 листопада 2004 року </w:t>
      </w:r>
      <w:hyperlink r:id="rId18" w:history="1">
        <w:r w:rsidRPr="00785948">
          <w:rPr>
            <w:rFonts w:ascii="Arial" w:eastAsia="Times New Roman" w:hAnsi="Arial" w:cs="Arial"/>
            <w:color w:val="8C8282"/>
            <w:sz w:val="21"/>
            <w:lang w:eastAsia="ru-RU"/>
          </w:rPr>
          <w:t>№ 1591</w:t>
        </w:r>
      </w:hyperlink>
      <w:r w:rsidRPr="00785948">
        <w:rPr>
          <w:rFonts w:ascii="Arial" w:eastAsia="Times New Roman" w:hAnsi="Arial" w:cs="Arial"/>
          <w:color w:val="000000"/>
          <w:sz w:val="21"/>
          <w:szCs w:val="21"/>
          <w:lang w:eastAsia="ru-RU"/>
        </w:rPr>
        <w:t>, Порядку організації харчування дітей у навчальних та оздоровчих закладах, затвердженого наказом Міністерства охорони здоров'я України, Міністерства освіти і науки України від 01 червня 2005 року </w:t>
      </w:r>
      <w:hyperlink r:id="rId19" w:history="1">
        <w:r w:rsidRPr="00785948">
          <w:rPr>
            <w:rFonts w:ascii="Arial" w:eastAsia="Times New Roman" w:hAnsi="Arial" w:cs="Arial"/>
            <w:color w:val="8C8282"/>
            <w:sz w:val="21"/>
            <w:lang w:eastAsia="ru-RU"/>
          </w:rPr>
          <w:t>№ 242/329</w:t>
        </w:r>
      </w:hyperlink>
      <w:r w:rsidRPr="00785948">
        <w:rPr>
          <w:rFonts w:ascii="Arial" w:eastAsia="Times New Roman" w:hAnsi="Arial" w:cs="Arial"/>
          <w:color w:val="000000"/>
          <w:sz w:val="21"/>
          <w:szCs w:val="21"/>
          <w:lang w:eastAsia="ru-RU"/>
        </w:rPr>
        <w:t>, зареєстрованого у Міністерстві юстиції України 15 червня 2005 року за № 661/10941.</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w:t>
      </w:r>
      <w:hyperlink r:id="rId20" w:history="1">
        <w:r w:rsidRPr="00785948">
          <w:rPr>
            <w:rFonts w:ascii="Arial" w:eastAsia="Times New Roman" w:hAnsi="Arial" w:cs="Arial"/>
            <w:color w:val="8C8282"/>
            <w:sz w:val="21"/>
            <w:lang w:eastAsia="ru-RU"/>
          </w:rPr>
          <w:t>додатку 9</w:t>
        </w:r>
      </w:hyperlink>
      <w:r w:rsidRPr="00785948">
        <w:rPr>
          <w:rFonts w:ascii="Arial" w:eastAsia="Times New Roman" w:hAnsi="Arial" w:cs="Arial"/>
          <w:color w:val="000000"/>
          <w:sz w:val="21"/>
          <w:szCs w:val="21"/>
          <w:lang w:eastAsia="ru-RU"/>
        </w:rPr>
        <w:t>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w:t>
      </w:r>
      <w:hyperlink r:id="rId21" w:history="1">
        <w:r w:rsidRPr="00785948">
          <w:rPr>
            <w:rFonts w:ascii="Arial" w:eastAsia="Times New Roman" w:hAnsi="Arial" w:cs="Arial"/>
            <w:color w:val="8C8282"/>
            <w:sz w:val="21"/>
            <w:lang w:eastAsia="ru-RU"/>
          </w:rPr>
          <w:t>додатку 10</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11. 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w:t>
      </w:r>
      <w:hyperlink r:id="rId22" w:history="1">
        <w:r w:rsidRPr="00785948">
          <w:rPr>
            <w:rFonts w:ascii="Arial" w:eastAsia="Times New Roman" w:hAnsi="Arial" w:cs="Arial"/>
            <w:color w:val="8C8282"/>
            <w:sz w:val="21"/>
            <w:lang w:eastAsia="ru-RU"/>
          </w:rPr>
          <w:t>додатку 11</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Закону України "Про основні принципи та вимоги до безпечності та якості харчових продуктів".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Закону України "Про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VII. ОРГАНІЗАЦІЯ МЕДИЧНОГО ОБСЛУГОВУВАННЯ ТА ФОРМУВАННЯ ГІГІЄНІЧНИХ НАВИЧОК ТА ЗАСАД ЗДОРОВОГО СПОСОБУ ЖИТТЯ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наказом Міністерства охорони здоров'я України від 16 серпня 2010 року № 682 "Про удосконалення медичного обслуговування учнів загальноосвітніх навчальних закладів", зареєстрованої в Міністерстві юстиції України 10 вересня 2010 року за № 794/18089.</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5. Періодичні огляди на педикульоз здійснюються медичним працівником відповідно до наказу Міністерства охорони здоров'я України від 28 березня 1994 року № 38 "Про організацію та проведення заходів по боротьбі з педикульозом". Всі учні обов'язково оглядаються після канікул та у подальшому - вибірково, за епідемічними показаннями.</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6. Формування гігієнічних знань, умінь і навичок учнів, засад здорового способу життя забезпечується закладами освіти у рамках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rsidR="00785948" w:rsidRPr="00785948" w:rsidRDefault="00785948" w:rsidP="00785948">
      <w:pPr>
        <w:shd w:val="clear" w:color="auto" w:fill="FFFFFF"/>
        <w:spacing w:after="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7. Санітарно-дезінфекційний режим у закладах освіти у період карантину наведено у </w:t>
      </w:r>
      <w:hyperlink r:id="rId23" w:history="1">
        <w:r w:rsidRPr="00785948">
          <w:rPr>
            <w:rFonts w:ascii="Arial" w:eastAsia="Times New Roman" w:hAnsi="Arial" w:cs="Arial"/>
            <w:color w:val="8C8282"/>
            <w:sz w:val="21"/>
            <w:lang w:eastAsia="ru-RU"/>
          </w:rPr>
          <w:t>додатку 12</w:t>
        </w:r>
      </w:hyperlink>
      <w:r w:rsidRPr="00785948">
        <w:rPr>
          <w:rFonts w:ascii="Arial" w:eastAsia="Times New Roman" w:hAnsi="Arial" w:cs="Arial"/>
          <w:color w:val="000000"/>
          <w:sz w:val="21"/>
          <w:szCs w:val="21"/>
          <w:lang w:eastAsia="ru-RU"/>
        </w:rPr>
        <w:t> до цього Санітарного регламенту.</w:t>
      </w:r>
    </w:p>
    <w:p w:rsidR="00785948" w:rsidRPr="00785948" w:rsidRDefault="00785948" w:rsidP="00785948">
      <w:pPr>
        <w:shd w:val="clear" w:color="auto" w:fill="FFFFFF"/>
        <w:spacing w:after="0" w:line="240" w:lineRule="auto"/>
        <w:jc w:val="center"/>
        <w:rPr>
          <w:rFonts w:ascii="Arial" w:eastAsia="Times New Roman" w:hAnsi="Arial" w:cs="Arial"/>
          <w:color w:val="000000"/>
          <w:sz w:val="21"/>
          <w:szCs w:val="21"/>
          <w:lang w:eastAsia="ru-RU"/>
        </w:rPr>
      </w:pPr>
      <w:r w:rsidRPr="00785948">
        <w:rPr>
          <w:rFonts w:ascii="Arial" w:eastAsia="Times New Roman" w:hAnsi="Arial" w:cs="Arial"/>
          <w:b/>
          <w:bCs/>
          <w:color w:val="000000"/>
          <w:sz w:val="21"/>
          <w:lang w:eastAsia="ru-RU"/>
        </w:rPr>
        <w:t>VIII. ВИМОГИ ДО САНІТАРНОГО І СПЕЦІАЛЬНОГО ОДЯГУ ТА ОСОБИСТОЇ ГІГІЄНИ ПРАЦІВНИКІВ</w:t>
      </w:r>
      <w:r w:rsidRPr="00785948">
        <w:rPr>
          <w:rFonts w:ascii="Arial" w:eastAsia="Times New Roman" w:hAnsi="Arial" w:cs="Arial"/>
          <w:color w:val="000000"/>
          <w:sz w:val="21"/>
          <w:szCs w:val="21"/>
          <w:lang w:eastAsia="ru-RU"/>
        </w:rPr>
        <w:t> </w:t>
      </w:r>
      <w:r w:rsidRPr="00785948">
        <w:rPr>
          <w:rFonts w:ascii="Arial" w:eastAsia="Times New Roman" w:hAnsi="Arial" w:cs="Arial"/>
          <w:b/>
          <w:bCs/>
          <w:color w:val="000000"/>
          <w:sz w:val="21"/>
          <w:lang w:eastAsia="ru-RU"/>
        </w:rPr>
        <w:t>ЗАКЛАДУ ОСВІТИ, ІНШИХ ОСІБ, ЗАЛУЧЕНИХ ДО ОРГАНІЗАЦІЇ ХАРЧУВАННЯ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Маркований санітарний одяг необхідно зберігати на вішаку (у шафі) у приміщенні для персоналу їдальні (харчоблоку). Забороняється застібати санітарний одяг шпильками, голками та зберігати у кишенях сторонні предмети, а також працювати у прикрасах.</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Заміна санітарного та спеціального одягу здійснюється у міру забруднення.</w:t>
      </w:r>
    </w:p>
    <w:p w:rsidR="00785948" w:rsidRPr="00785948" w:rsidRDefault="00785948" w:rsidP="00785948">
      <w:pPr>
        <w:shd w:val="clear" w:color="auto" w:fill="FFFFFF"/>
        <w:spacing w:after="210" w:line="240" w:lineRule="auto"/>
        <w:jc w:val="both"/>
        <w:rPr>
          <w:rFonts w:ascii="Arial" w:eastAsia="Times New Roman" w:hAnsi="Arial" w:cs="Arial"/>
          <w:color w:val="000000"/>
          <w:sz w:val="21"/>
          <w:szCs w:val="21"/>
          <w:lang w:eastAsia="ru-RU"/>
        </w:rPr>
      </w:pPr>
      <w:r w:rsidRPr="00785948">
        <w:rPr>
          <w:rFonts w:ascii="Arial" w:eastAsia="Times New Roman" w:hAnsi="Arial" w:cs="Arial"/>
          <w:color w:val="000000"/>
          <w:sz w:val="21"/>
          <w:szCs w:val="21"/>
          <w:lang w:eastAsia="ru-RU"/>
        </w:rPr>
        <w:t>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затверджених наказом Міністерства охорони здоров'я України від 23 липня 2002 року № 280, зареєстрованих в Міністерстві юстиції України 08 серпня 2002 року за № 639/6927 (у редакції наказу Міністерства охорони здоров'я України від 21 лютого 2013 року № 150).</w:t>
      </w:r>
    </w:p>
    <w:p w:rsidR="00B01F2A" w:rsidRDefault="00B01F2A"/>
    <w:sectPr w:rsidR="00B01F2A" w:rsidSect="00BB5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0F5"/>
    <w:multiLevelType w:val="multilevel"/>
    <w:tmpl w:val="C70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51A8E"/>
    <w:multiLevelType w:val="multilevel"/>
    <w:tmpl w:val="6B2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B6904"/>
    <w:multiLevelType w:val="multilevel"/>
    <w:tmpl w:val="0AEC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727EC"/>
    <w:multiLevelType w:val="multilevel"/>
    <w:tmpl w:val="69A0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785948"/>
    <w:rsid w:val="000B27E9"/>
    <w:rsid w:val="00785948"/>
    <w:rsid w:val="00B01F2A"/>
    <w:rsid w:val="00BB5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5948"/>
    <w:rPr>
      <w:b/>
      <w:bCs/>
    </w:rPr>
  </w:style>
  <w:style w:type="character" w:styleId="a5">
    <w:name w:val="Hyperlink"/>
    <w:basedOn w:val="a0"/>
    <w:uiPriority w:val="99"/>
    <w:semiHidden/>
    <w:unhideWhenUsed/>
    <w:rsid w:val="00785948"/>
    <w:rPr>
      <w:color w:val="0000FF"/>
      <w:u w:val="single"/>
    </w:rPr>
  </w:style>
</w:styles>
</file>

<file path=word/webSettings.xml><?xml version="1.0" encoding="utf-8"?>
<w:webSettings xmlns:r="http://schemas.openxmlformats.org/officeDocument/2006/relationships" xmlns:w="http://schemas.openxmlformats.org/wordprocessingml/2006/main">
  <w:divs>
    <w:div w:id="10432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doc/files/news/777/77778/Dodatok_7.docx" TargetMode="External"/><Relationship Id="rId18" Type="http://schemas.openxmlformats.org/officeDocument/2006/relationships/hyperlink" Target="https://osvita.ua/legislation/other/2738/" TargetMode="External"/><Relationship Id="rId3" Type="http://schemas.openxmlformats.org/officeDocument/2006/relationships/settings" Target="settings.xml"/><Relationship Id="rId21" Type="http://schemas.openxmlformats.org/officeDocument/2006/relationships/hyperlink" Target="https://osvita.ua/doc/files/news/777/77778/Dodatok_10.docx" TargetMode="External"/><Relationship Id="rId7" Type="http://schemas.openxmlformats.org/officeDocument/2006/relationships/hyperlink" Target="https://osvita.ua/doc/files/news/777/77778/Dodatok_3.docx" TargetMode="External"/><Relationship Id="rId12" Type="http://schemas.openxmlformats.org/officeDocument/2006/relationships/hyperlink" Target="https://osvita.ua/legislation/law/2232/" TargetMode="External"/><Relationship Id="rId17" Type="http://schemas.openxmlformats.org/officeDocument/2006/relationships/hyperlink" Target="https://osvita.ua/doc/files/news/777/77778/Dodatok_3_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vita.ua/doc/files/news/777/77778/Dodatok_7_1.docx" TargetMode="External"/><Relationship Id="rId20" Type="http://schemas.openxmlformats.org/officeDocument/2006/relationships/hyperlink" Target="https://osvita.ua/doc/files/news/777/77778/Dodatok_9.docx" TargetMode="External"/><Relationship Id="rId1" Type="http://schemas.openxmlformats.org/officeDocument/2006/relationships/numbering" Target="numbering.xml"/><Relationship Id="rId6" Type="http://schemas.openxmlformats.org/officeDocument/2006/relationships/hyperlink" Target="https://osvita.ua/doc/files/news/777/77778/Dodatok_2.docx" TargetMode="External"/><Relationship Id="rId11" Type="http://schemas.openxmlformats.org/officeDocument/2006/relationships/hyperlink" Target="https://osvita.ua/doc/files/news/777/77778/Dodatok_6.docx" TargetMode="External"/><Relationship Id="rId24" Type="http://schemas.openxmlformats.org/officeDocument/2006/relationships/fontTable" Target="fontTable.xml"/><Relationship Id="rId5" Type="http://schemas.openxmlformats.org/officeDocument/2006/relationships/hyperlink" Target="https://osvita.ua/doc/files/news/777/77778/Dodatok_1.docx" TargetMode="External"/><Relationship Id="rId15" Type="http://schemas.openxmlformats.org/officeDocument/2006/relationships/hyperlink" Target="https://osvita.ua/legislation/law/2232/" TargetMode="External"/><Relationship Id="rId23" Type="http://schemas.openxmlformats.org/officeDocument/2006/relationships/hyperlink" Target="https://osvita.ua/doc/files/news/777/77778/Dodatok_12.docx" TargetMode="External"/><Relationship Id="rId10" Type="http://schemas.openxmlformats.org/officeDocument/2006/relationships/hyperlink" Target="https://osvita.ua/doc/files/news/777/77778/Dodatok_5.docx" TargetMode="External"/><Relationship Id="rId19" Type="http://schemas.openxmlformats.org/officeDocument/2006/relationships/hyperlink" Target="https://osvita.ua/legislation/Ser_osv/2829/" TargetMode="External"/><Relationship Id="rId4" Type="http://schemas.openxmlformats.org/officeDocument/2006/relationships/webSettings" Target="webSettings.xml"/><Relationship Id="rId9" Type="http://schemas.openxmlformats.org/officeDocument/2006/relationships/hyperlink" Target="https://osvita.ua/doc/files/news/777/77778/Dodatok_4.docx" TargetMode="External"/><Relationship Id="rId14" Type="http://schemas.openxmlformats.org/officeDocument/2006/relationships/hyperlink" Target="https://osvita.ua/doc/files/news/777/77778/Dodatok_8.docx" TargetMode="External"/><Relationship Id="rId22" Type="http://schemas.openxmlformats.org/officeDocument/2006/relationships/hyperlink" Target="https://osvita.ua/doc/files/news/777/77778/Dodatok_11.docx"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8679</Words>
  <Characters>49472</Characters>
  <Application>Microsoft Office Word</Application>
  <DocSecurity>0</DocSecurity>
  <Lines>412</Lines>
  <Paragraphs>116</Paragraphs>
  <ScaleCrop>false</ScaleCrop>
  <Company/>
  <LinksUpToDate>false</LinksUpToDate>
  <CharactersWithSpaces>58035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teacher25</dc:creator>
  <cp:lastModifiedBy>teacher25</cp:lastModifiedBy>
  <cp:revision>2</cp:revision>
  <dcterms:created xsi:type="dcterms:W3CDTF">2021-01-05T10:04:00Z</dcterms:created>
  <dcterms:modified xsi:type="dcterms:W3CDTF">2021-01-05T10:04:00Z</dcterms:modified>
</cp:coreProperties>
</file>